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4"/>
        <w:gridCol w:w="957"/>
      </w:tblGrid>
      <w:tr w:rsidR="008D0F7B" w:rsidRPr="008D0F7B" w:rsidTr="008D0F7B">
        <w:tc>
          <w:tcPr>
            <w:tcW w:w="4500" w:type="pct"/>
          </w:tcPr>
          <w:p w:rsidR="001F19B9" w:rsidRDefault="00FC6FCF" w:rsidP="00006B00">
            <w:r>
              <w:rPr>
                <w:rStyle w:val="textdoc"/>
                <w:b/>
                <w:bCs/>
              </w:rPr>
              <w:t xml:space="preserve">СОДЕРЖАНИЕ </w:t>
            </w:r>
            <w:r>
              <w:br/>
            </w:r>
          </w:p>
          <w:p w:rsidR="008D0F7B" w:rsidRPr="008D0F7B" w:rsidRDefault="008D0F7B" w:rsidP="00006B00">
            <w:bookmarkStart w:id="0" w:name="_GoBack"/>
            <w:bookmarkEnd w:id="0"/>
            <w:r w:rsidRPr="008D0F7B">
              <w:t xml:space="preserve">В.В. </w:t>
            </w:r>
            <w:proofErr w:type="spellStart"/>
            <w:r w:rsidRPr="008D0F7B">
              <w:t>Согрин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Ученый и гражданин в меняющейся стране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rPr>
                <w:rStyle w:val="textdoc"/>
                <w:b/>
                <w:bCs/>
              </w:rPr>
              <w:t>Раздел I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Pr>
              <w:rPr>
                <w:b/>
              </w:rPr>
            </w:pPr>
            <w:r w:rsidRPr="008D0F7B">
              <w:rPr>
                <w:b/>
              </w:rPr>
              <w:t>ОБРАЗЫ РОССИИ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A.</w:t>
            </w:r>
            <w:r w:rsidRPr="008D0F7B">
              <w:t xml:space="preserve">О. </w:t>
            </w:r>
            <w:proofErr w:type="spellStart"/>
            <w:r w:rsidRPr="008D0F7B">
              <w:t>Чубарьян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Стереотипы и образы России в европейском мышлении и массовом сознании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B.В. Алексеев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Русская идея: от мессианизма к прагматизму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35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Ю.С. Пивоваров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Русская власть и исторические типы ее осмысления, или</w:t>
            </w:r>
            <w:proofErr w:type="gramStart"/>
            <w:r w:rsidRPr="008D0F7B">
              <w:t xml:space="preserve"> Д</w:t>
            </w:r>
            <w:proofErr w:type="gramEnd"/>
            <w:r w:rsidRPr="008D0F7B">
              <w:t>ва века русской мысли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46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spellStart"/>
            <w:r w:rsidRPr="008D0F7B">
              <w:t>Вяч.А</w:t>
            </w:r>
            <w:proofErr w:type="spellEnd"/>
            <w:r w:rsidRPr="008D0F7B">
              <w:t>. Никонов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gramStart"/>
            <w:r w:rsidRPr="008D0F7B">
              <w:t>Империя, государство и нация в России накануне революции 1917 года (по</w:t>
            </w:r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мотивам идей В.А. Тишкова)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92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М.К. Горшков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Социальные основы формирования гражданской нации в современной России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103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В.М. Михайлов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К вопросу об эволюции государственно-гражданской идентичности россиян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115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В.В. </w:t>
            </w:r>
            <w:proofErr w:type="spellStart"/>
            <w:r w:rsidRPr="008D0F7B">
              <w:t>Трепавлов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Категория «российская цивилизация» и феномен </w:t>
            </w:r>
            <w:proofErr w:type="spellStart"/>
            <w:r w:rsidRPr="008D0F7B">
              <w:t>полиэтничности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124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A.Н. Аршин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Модернизация России как условие межэтнической стабильности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138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К.Э. </w:t>
            </w:r>
            <w:proofErr w:type="spellStart"/>
            <w:r w:rsidRPr="008D0F7B">
              <w:t>Разлогов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Что строим: крепость или автострады? Об актуальных направлениях </w:t>
            </w:r>
            <w:proofErr w:type="gramStart"/>
            <w:r w:rsidRPr="008D0F7B">
              <w:t>культурной</w:t>
            </w:r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политики в государствах - участниках СНГ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151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М.Ю. Мартынова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Академик В.А. Тишков и российская этнология: об исследованиях Института этно-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логии и антропологии им. Н.Н. Миклухо-Маклая Российской академии наук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168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spellStart"/>
            <w:r w:rsidRPr="008D0F7B">
              <w:t>Шэнминь</w:t>
            </w:r>
            <w:proofErr w:type="spellEnd"/>
            <w:r w:rsidRPr="008D0F7B">
              <w:t xml:space="preserve"> Ян, </w:t>
            </w:r>
            <w:proofErr w:type="spellStart"/>
            <w:r w:rsidRPr="008D0F7B">
              <w:t>Хун</w:t>
            </w:r>
            <w:proofErr w:type="spellEnd"/>
            <w:r w:rsidRPr="008D0F7B">
              <w:t xml:space="preserve"> Дин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Процесс развития китайской этнолог</w:t>
            </w:r>
            <w:proofErr w:type="gramStart"/>
            <w:r w:rsidRPr="008D0F7B">
              <w:t>ии и ее</w:t>
            </w:r>
            <w:proofErr w:type="gramEnd"/>
            <w:r w:rsidRPr="008D0F7B">
              <w:t xml:space="preserve"> особенности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186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Е.И. Пивовар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Гуманитарное сотрудничество на постсоветском пространстве: механизмы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 перспективы развития глазами историка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195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B.И. Васильев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Академик В.А. Тишков в истории академической научно-издательской </w:t>
            </w:r>
            <w:proofErr w:type="spellStart"/>
            <w:r w:rsidRPr="008D0F7B">
              <w:t>дея</w:t>
            </w:r>
            <w:proofErr w:type="spellEnd"/>
            <w:r w:rsidRPr="008D0F7B">
              <w:t>-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spellStart"/>
            <w:r w:rsidRPr="008D0F7B">
              <w:t>тельности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204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СП. Карпов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Межэтнические отношения и смешанные браки на окраине Латинской </w:t>
            </w:r>
            <w:proofErr w:type="spellStart"/>
            <w:r w:rsidRPr="008D0F7B">
              <w:t>Романии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(</w:t>
            </w:r>
            <w:proofErr w:type="spellStart"/>
            <w:r w:rsidRPr="008D0F7B">
              <w:t>Тана</w:t>
            </w:r>
            <w:proofErr w:type="spellEnd"/>
            <w:r w:rsidRPr="008D0F7B">
              <w:t>, XIV-XV века) 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208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Pr>
              <w:rPr>
                <w:b/>
                <w:bCs/>
              </w:rPr>
            </w:pPr>
            <w:r w:rsidRPr="008D0F7B">
              <w:rPr>
                <w:rStyle w:val="textdoc"/>
                <w:b/>
                <w:bCs/>
              </w:rPr>
              <w:t>Р</w:t>
            </w:r>
            <w:r w:rsidRPr="008D0F7B">
              <w:rPr>
                <w:rStyle w:val="textdoc"/>
                <w:b/>
                <w:bCs/>
              </w:rPr>
              <w:t xml:space="preserve">аздел 2 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  <w:rPr>
                <w:b/>
                <w:bCs/>
              </w:rPr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rPr>
                <w:rStyle w:val="textdoc"/>
                <w:b/>
                <w:bCs/>
              </w:rPr>
              <w:t>ИДЕНТИЧНОСТЬ В СОВРЕМЕННОМ</w:t>
            </w:r>
            <w:r w:rsidRPr="008D0F7B">
              <w:rPr>
                <w:rStyle w:val="textdoc"/>
                <w:b/>
                <w:bCs/>
              </w:rPr>
              <w:t xml:space="preserve"> </w:t>
            </w:r>
            <w:r w:rsidRPr="008D0F7B">
              <w:rPr>
                <w:rStyle w:val="textdoc"/>
                <w:b/>
                <w:bCs/>
              </w:rPr>
              <w:t>ЭТНОЛОГИЧЕСКОМ ЗНАНИИ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Ю.В. Арутюнян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Русский этнос: демографические измен</w:t>
            </w:r>
            <w:r>
              <w:t>ения и востребованность межэтни</w:t>
            </w:r>
            <w:r w:rsidRPr="008D0F7B">
              <w:t>ческой интеграции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216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Л.М. </w:t>
            </w:r>
            <w:proofErr w:type="spellStart"/>
            <w:r w:rsidRPr="008D0F7B">
              <w:t>Дробижева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Мифы и реальность современного полиэтнического общества 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224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A.В. </w:t>
            </w:r>
            <w:proofErr w:type="spellStart"/>
            <w:r w:rsidRPr="008D0F7B">
              <w:t>Буганов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История и этнография русского народа в исследованиях Института этнологии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 антропологии РАН (1990-2010 годы)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233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Н.Ф, Бугай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Проблема </w:t>
            </w:r>
            <w:proofErr w:type="spellStart"/>
            <w:r w:rsidRPr="008D0F7B">
              <w:t>нациестроительства</w:t>
            </w:r>
            <w:proofErr w:type="spellEnd"/>
            <w:r w:rsidRPr="008D0F7B">
              <w:t xml:space="preserve"> в Российской Федерации: общее и особенное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241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B.Ю. Зорин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Государственная национальная политика в России на современном этапе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250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lastRenderedPageBreak/>
              <w:t>A.Ю. Чистяков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Региональная геральдика и идентичность: этническая символика в гербах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республик Российской Федерации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265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Г.А. Комарова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Отечественная этнография и </w:t>
            </w:r>
            <w:proofErr w:type="spellStart"/>
            <w:r w:rsidRPr="008D0F7B">
              <w:t>этносоциология</w:t>
            </w:r>
            <w:proofErr w:type="spellEnd"/>
            <w:r w:rsidRPr="008D0F7B">
              <w:t xml:space="preserve">: опыт </w:t>
            </w:r>
            <w:proofErr w:type="gramStart"/>
            <w:r w:rsidRPr="008D0F7B">
              <w:t>междисциплинарной</w:t>
            </w:r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интеграции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273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Н.А. Дубова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Антропологические и </w:t>
            </w:r>
            <w:proofErr w:type="spellStart"/>
            <w:r w:rsidRPr="008D0F7B">
              <w:t>этноэкологические</w:t>
            </w:r>
            <w:proofErr w:type="spellEnd"/>
            <w:r w:rsidRPr="008D0F7B">
              <w:t xml:space="preserve"> исследования на рубеже тысячелетий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298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Н.А. Томилов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Омский этнографический центр и его теоретические исследования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319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М.А. Жигунова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Этнокультурная идентичность русских: современные проблемы изучения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 сохранения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337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Ю.К. Чистов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Этнографический музей: уважай прошлое, твори будущее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351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Д. </w:t>
            </w:r>
            <w:proofErr w:type="spellStart"/>
            <w:r w:rsidRPr="008D0F7B">
              <w:t>Радойичич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Русские в Черногории в начале XXI века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367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Р.Г. </w:t>
            </w:r>
            <w:proofErr w:type="spellStart"/>
            <w:r w:rsidRPr="008D0F7B">
              <w:t>My</w:t>
            </w:r>
            <w:proofErr w:type="spellEnd"/>
            <w:r w:rsidRPr="008D0F7B">
              <w:t xml:space="preserve"> радов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Русский город на нерусской земле: европейская парадигма для Средней Азии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374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Л.В. Остапенко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Русская молодежь Украины: социальные ожидания и пути их реализации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384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B.К. </w:t>
            </w:r>
            <w:proofErr w:type="spellStart"/>
            <w:r w:rsidRPr="008D0F7B">
              <w:t>Малькова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Этническая пресса современной Росс</w:t>
            </w:r>
            <w:proofErr w:type="gramStart"/>
            <w:r w:rsidRPr="008D0F7B">
              <w:t>ии и ее</w:t>
            </w:r>
            <w:proofErr w:type="gramEnd"/>
            <w:r w:rsidRPr="008D0F7B">
              <w:t xml:space="preserve"> проблемы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395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И.А. Субботина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«Шагреневая кожа» Русского мира Молдавии (</w:t>
            </w:r>
            <w:proofErr w:type="spellStart"/>
            <w:r w:rsidRPr="008D0F7B">
              <w:t>этнодемографический</w:t>
            </w:r>
            <w:proofErr w:type="spellEnd"/>
            <w:r w:rsidRPr="008D0F7B">
              <w:t xml:space="preserve"> аспект)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403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О.Н. </w:t>
            </w:r>
            <w:proofErr w:type="spellStart"/>
            <w:r w:rsidRPr="008D0F7B">
              <w:t>Шелегина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Результаты и перспективы адаптации исследований культуры </w:t>
            </w:r>
            <w:proofErr w:type="spellStart"/>
            <w:r w:rsidRPr="008D0F7B">
              <w:t>жизнеобеспе</w:t>
            </w:r>
            <w:proofErr w:type="spellEnd"/>
            <w:r w:rsidRPr="008D0F7B">
              <w:t>-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spellStart"/>
            <w:r w:rsidRPr="008D0F7B">
              <w:t>чения</w:t>
            </w:r>
            <w:proofErr w:type="spellEnd"/>
            <w:r w:rsidRPr="008D0F7B">
              <w:t xml:space="preserve"> населения Сибири к современной музейной практике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414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Л.Л. </w:t>
            </w:r>
            <w:proofErr w:type="spellStart"/>
            <w:r w:rsidRPr="008D0F7B">
              <w:t>Абаева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Идентичность в локусе бытия монгольских народов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425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З.В. </w:t>
            </w:r>
            <w:proofErr w:type="spellStart"/>
            <w:r w:rsidRPr="008D0F7B">
              <w:t>Анайбан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Русские Тувы и Хакасии: адаптация </w:t>
            </w:r>
            <w:proofErr w:type="gramStart"/>
            <w:r w:rsidRPr="008D0F7B">
              <w:t>к</w:t>
            </w:r>
            <w:proofErr w:type="gramEnd"/>
            <w:r w:rsidRPr="008D0F7B">
              <w:t xml:space="preserve"> региональной социальной и этнокультур-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ной ситуации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439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Н.В. Иванова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Этническая идентичность и особенности ее формирования в полиэтнической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городской среде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454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Pr>
              <w:rPr>
                <w:b/>
                <w:bCs/>
              </w:rPr>
            </w:pPr>
            <w:r w:rsidRPr="008D0F7B">
              <w:rPr>
                <w:rStyle w:val="textdoc"/>
                <w:b/>
                <w:bCs/>
              </w:rPr>
              <w:t>Раздел III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  <w:rPr>
                <w:b/>
                <w:bCs/>
              </w:rPr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rPr>
                <w:rStyle w:val="textdoc"/>
                <w:b/>
                <w:bCs/>
              </w:rPr>
              <w:t>РОССИЙСКИЕ ИДЕНТИЧНОСТИ:</w:t>
            </w:r>
            <w:r w:rsidRPr="008D0F7B">
              <w:rPr>
                <w:rStyle w:val="textdoc"/>
                <w:b/>
                <w:bCs/>
              </w:rPr>
              <w:t xml:space="preserve"> </w:t>
            </w:r>
            <w:r w:rsidRPr="008D0F7B">
              <w:rPr>
                <w:rStyle w:val="textdoc"/>
                <w:b/>
                <w:bCs/>
              </w:rPr>
              <w:t>РЕТРОСПЕКТИВЫ И ПЕРСПЕКТИВЫ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В.В. Карлов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Этническая идентификация в системе идентичностей глобального мира: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тенденции изменений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469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М.Н. </w:t>
            </w:r>
            <w:proofErr w:type="spellStart"/>
            <w:r w:rsidRPr="008D0F7B">
              <w:t>Губогло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gramStart"/>
            <w:r w:rsidRPr="008D0F7B">
              <w:t xml:space="preserve">О роли личности в этнической истории (штрихи к жизнедеятельности </w:t>
            </w:r>
            <w:proofErr w:type="spellStart"/>
            <w:r w:rsidRPr="008D0F7B">
              <w:t>Изеддина</w:t>
            </w:r>
            <w:proofErr w:type="spellEnd"/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spellStart"/>
            <w:proofErr w:type="gramStart"/>
            <w:r w:rsidRPr="008D0F7B">
              <w:t>Ке</w:t>
            </w:r>
            <w:r w:rsidRPr="008D0F7B">
              <w:t>йкавуса</w:t>
            </w:r>
            <w:proofErr w:type="spellEnd"/>
            <w:r w:rsidRPr="008D0F7B">
              <w:t xml:space="preserve"> II)</w:t>
            </w:r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474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B.</w:t>
            </w:r>
            <w:r w:rsidRPr="008D0F7B">
              <w:t xml:space="preserve">Я. </w:t>
            </w:r>
            <w:proofErr w:type="spellStart"/>
            <w:r w:rsidRPr="008D0F7B">
              <w:t>Гросул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Общественность России в годы правления Екатерины II и Павла 1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498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А.Е. Тер-</w:t>
            </w:r>
            <w:proofErr w:type="spellStart"/>
            <w:r w:rsidRPr="008D0F7B">
              <w:t>Саркисянц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Динамика этнокультурной ситуации (опыт Нагорного Карабаха) 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511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Н.В. </w:t>
            </w:r>
            <w:proofErr w:type="spellStart"/>
            <w:r w:rsidRPr="008D0F7B">
              <w:t>Бабилунга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Когда раздается клич: правый экстремизм и маргина</w:t>
            </w:r>
            <w:r w:rsidRPr="008D0F7B">
              <w:t xml:space="preserve">лы в прошлом и теперь 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527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Т.А. Воронина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Заздравная чаша в истории русского светского этикета (X-XVII века)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541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Н.С. </w:t>
            </w:r>
            <w:proofErr w:type="spellStart"/>
            <w:r w:rsidRPr="008D0F7B">
              <w:t>Душакова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Особенности традиционной культуры старообрядцев Молдовы и Южной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lastRenderedPageBreak/>
              <w:t>Украины: жилищная практика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561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А</w:t>
            </w:r>
            <w:r w:rsidRPr="008D0F7B">
              <w:t>.</w:t>
            </w:r>
            <w:r w:rsidRPr="008D0F7B">
              <w:t xml:space="preserve">Д. </w:t>
            </w:r>
            <w:proofErr w:type="spellStart"/>
            <w:r w:rsidRPr="008D0F7B">
              <w:t>Коросшелев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Исследование динамики сети сельских поселений в </w:t>
            </w:r>
            <w:proofErr w:type="spellStart"/>
            <w:r w:rsidRPr="008D0F7B">
              <w:t>Приуралье</w:t>
            </w:r>
            <w:proofErr w:type="spellEnd"/>
            <w:r w:rsidRPr="008D0F7B">
              <w:t>: проблема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выделения </w:t>
            </w:r>
            <w:proofErr w:type="spellStart"/>
            <w:r w:rsidRPr="008D0F7B">
              <w:t>микрозон</w:t>
            </w:r>
            <w:proofErr w:type="spellEnd"/>
            <w:r w:rsidRPr="008D0F7B">
              <w:t xml:space="preserve"> расселения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574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Н.Л. Пушкарева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gramStart"/>
            <w:r w:rsidRPr="008D0F7B">
              <w:t>«Исследования женщин» как исследования для женщин (культурное наследие</w:t>
            </w:r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proofErr w:type="gramStart"/>
            <w:r w:rsidRPr="008D0F7B">
              <w:t>антропологов-феминисток первой волны)     580</w:t>
            </w:r>
            <w:proofErr w:type="gram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О.С. </w:t>
            </w:r>
            <w:proofErr w:type="spellStart"/>
            <w:r w:rsidRPr="008D0F7B">
              <w:t>Лукъянец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Традиционное отношение к конфликтам в молдавском селе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594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Е.Н. </w:t>
            </w:r>
            <w:proofErr w:type="spellStart"/>
            <w:r w:rsidRPr="008D0F7B">
              <w:t>Квилинкова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Гагаузский язык сквозь призму динамики этнической идентичности гагаузов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604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И.А. </w:t>
            </w:r>
            <w:proofErr w:type="spellStart"/>
            <w:r w:rsidRPr="008D0F7B">
              <w:t>Снежкова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Великая Отечественная война в представлениях российских старшеклассников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621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 xml:space="preserve">C. Ш. </w:t>
            </w:r>
            <w:proofErr w:type="spellStart"/>
            <w:r w:rsidRPr="008D0F7B">
              <w:t>Казиев</w:t>
            </w:r>
            <w:proofErr w:type="spellEnd"/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Традиции национальной политики и межэтнических отношений в Казахс</w:t>
            </w:r>
            <w:r w:rsidRPr="008D0F7B">
              <w:t>тане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в XX - начале XXI века</w:t>
            </w:r>
          </w:p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  <w:r w:rsidRPr="008D0F7B">
              <w:t>628</w:t>
            </w:r>
          </w:p>
        </w:tc>
      </w:tr>
      <w:tr w:rsidR="008D0F7B" w:rsidRPr="008D0F7B" w:rsidTr="008D0F7B">
        <w:tc>
          <w:tcPr>
            <w:tcW w:w="4500" w:type="pct"/>
          </w:tcPr>
          <w:p w:rsidR="008D0F7B" w:rsidRPr="008D0F7B" w:rsidRDefault="008D0F7B" w:rsidP="00006B00"/>
        </w:tc>
        <w:tc>
          <w:tcPr>
            <w:tcW w:w="500" w:type="pct"/>
            <w:vAlign w:val="center"/>
          </w:tcPr>
          <w:p w:rsidR="008D0F7B" w:rsidRPr="008D0F7B" w:rsidRDefault="008D0F7B" w:rsidP="008D0F7B">
            <w:pPr>
              <w:jc w:val="center"/>
            </w:pPr>
          </w:p>
        </w:tc>
      </w:tr>
      <w:tr w:rsidR="008D0F7B" w:rsidTr="008D0F7B">
        <w:tc>
          <w:tcPr>
            <w:tcW w:w="4500" w:type="pct"/>
          </w:tcPr>
          <w:p w:rsidR="008D0F7B" w:rsidRPr="008D0F7B" w:rsidRDefault="008D0F7B" w:rsidP="00006B00">
            <w:r w:rsidRPr="008D0F7B">
              <w:t>Список научных трудов и публик</w:t>
            </w:r>
            <w:r w:rsidRPr="008D0F7B">
              <w:t>аций академика В.А. Тишкова </w:t>
            </w:r>
          </w:p>
        </w:tc>
        <w:tc>
          <w:tcPr>
            <w:tcW w:w="500" w:type="pct"/>
            <w:vAlign w:val="center"/>
          </w:tcPr>
          <w:p w:rsidR="008D0F7B" w:rsidRDefault="008D0F7B" w:rsidP="008D0F7B">
            <w:pPr>
              <w:jc w:val="center"/>
            </w:pPr>
            <w:r w:rsidRPr="008D0F7B">
              <w:t>642</w:t>
            </w:r>
          </w:p>
        </w:tc>
      </w:tr>
    </w:tbl>
    <w:p w:rsidR="00FB02EA" w:rsidRDefault="00FB02EA" w:rsidP="008D0F7B"/>
    <w:sectPr w:rsidR="00FB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CF"/>
    <w:rsid w:val="001F19B9"/>
    <w:rsid w:val="008D0F7B"/>
    <w:rsid w:val="00FB02EA"/>
    <w:rsid w:val="00FC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oc">
    <w:name w:val="textdoc"/>
    <w:basedOn w:val="a0"/>
    <w:rsid w:val="00FC6FCF"/>
  </w:style>
  <w:style w:type="table" w:styleId="a3">
    <w:name w:val="Table Grid"/>
    <w:basedOn w:val="a1"/>
    <w:uiPriority w:val="59"/>
    <w:rsid w:val="008D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doc">
    <w:name w:val="textdoc"/>
    <w:basedOn w:val="a0"/>
    <w:rsid w:val="00FC6FCF"/>
  </w:style>
  <w:style w:type="table" w:styleId="a3">
    <w:name w:val="Table Grid"/>
    <w:basedOn w:val="a1"/>
    <w:uiPriority w:val="59"/>
    <w:rsid w:val="008D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2012-02-02T05:59:00Z</dcterms:created>
  <dcterms:modified xsi:type="dcterms:W3CDTF">2012-02-02T07:40:00Z</dcterms:modified>
</cp:coreProperties>
</file>